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margin">
                  <wp:posOffset>2318385</wp:posOffset>
                </wp:positionH>
                <wp:positionV relativeFrom="paragraph">
                  <wp:posOffset>-298450</wp:posOffset>
                </wp:positionV>
                <wp:extent cx="4114800" cy="14325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32560"/>
                        </a:xfrm>
                        <a:prstGeom prst="rect">
                          <a:avLst/>
                        </a:prstGeom>
                        <a:noFill/>
                        <a:ln w="9525">
                          <a:noFill/>
                          <a:miter lim="800000"/>
                        </a:ln>
                      </wps:spPr>
                      <wps:txbx>
                        <w:txbxContent>
                          <w:p w:rsidR="002608D1" w:rsidRDefault="002608D1">
                            <w:pPr>
                              <w:spacing w:line="240" w:lineRule="exact"/>
                              <w:jc w:val="both"/>
                              <w:rPr>
                                <w:b/>
                                <w:bCs/>
                                <w:sz w:val="28"/>
                                <w:szCs w:val="28"/>
                              </w:rPr>
                            </w:pPr>
                          </w:p>
                          <w:p w:rsidR="002608D1" w:rsidRDefault="00F878EF">
                            <w:pPr>
                              <w:spacing w:line="240" w:lineRule="exact"/>
                              <w:jc w:val="center"/>
                              <w:rPr>
                                <w:b/>
                                <w:bCs/>
                                <w:sz w:val="28"/>
                                <w:szCs w:val="28"/>
                              </w:rPr>
                            </w:pPr>
                            <w:r>
                              <w:rPr>
                                <w:b/>
                                <w:bCs/>
                                <w:sz w:val="28"/>
                                <w:szCs w:val="28"/>
                              </w:rPr>
                              <w:t>Генеральному прокурору Российской Федерации</w:t>
                            </w:r>
                          </w:p>
                          <w:p w:rsidR="002608D1" w:rsidRDefault="00F878EF">
                            <w:pPr>
                              <w:spacing w:line="240" w:lineRule="exact"/>
                              <w:jc w:val="center"/>
                              <w:rPr>
                                <w:b/>
                                <w:bCs/>
                                <w:sz w:val="28"/>
                                <w:szCs w:val="28"/>
                              </w:rPr>
                            </w:pPr>
                            <w:r>
                              <w:rPr>
                                <w:b/>
                                <w:bCs/>
                                <w:sz w:val="28"/>
                                <w:szCs w:val="28"/>
                              </w:rPr>
                              <w:t>действительному государственному советнику юстиции</w:t>
                            </w:r>
                          </w:p>
                          <w:p w:rsidR="002608D1" w:rsidRDefault="00F878EF">
                            <w:pPr>
                              <w:spacing w:line="240" w:lineRule="exact"/>
                              <w:jc w:val="center"/>
                              <w:rPr>
                                <w:b/>
                                <w:bCs/>
                                <w:sz w:val="28"/>
                                <w:szCs w:val="28"/>
                              </w:rPr>
                            </w:pPr>
                            <w:r>
                              <w:rPr>
                                <w:b/>
                                <w:bCs/>
                                <w:sz w:val="28"/>
                                <w:szCs w:val="28"/>
                              </w:rPr>
                              <w:t>Краснову И.В.</w:t>
                            </w:r>
                          </w:p>
                          <w:p w:rsidR="002608D1" w:rsidRDefault="002608D1">
                            <w:pPr>
                              <w:spacing w:line="240" w:lineRule="exact"/>
                            </w:pPr>
                          </w:p>
                          <w:p w:rsidR="002608D1" w:rsidRDefault="002608D1">
                            <w:pPr>
                              <w:pStyle w:val="a9"/>
                              <w:jc w:val="center"/>
                              <w:rPr>
                                <w:rFonts w:ascii="Times New Roman" w:hAnsi="Times New Roman" w:cs="Times New Roman"/>
                                <w:b/>
                                <w:smallCaps/>
                                <w:sz w:val="28"/>
                                <w:szCs w:val="72"/>
                                <w:lang w:val="ru-RU"/>
                              </w:rPr>
                            </w:pPr>
                          </w:p>
                          <w:p w:rsidR="002608D1" w:rsidRDefault="002608D1">
                            <w:pPr>
                              <w:pStyle w:val="a9"/>
                              <w:jc w:val="center"/>
                              <w:rPr>
                                <w:rFonts w:ascii="Times New Roman" w:hAnsi="Times New Roman" w:cs="Times New Roman"/>
                                <w:b/>
                                <w:smallCaps/>
                                <w:sz w:val="28"/>
                                <w:szCs w:val="72"/>
                                <w:lang w:val="ru-RU"/>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2.55pt;margin-top:-23.5pt;height:112.8pt;width:324p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lvTY2QAAAAwBAAAPAAAA&#10;AAAAAAEAIAAAACIAAABkcnMvZG93bnJldi54bWxQSwECFAAUAAAACACHTuJAU7TK6xQCAAApBAAA&#10;DgAAAAAAAAABACAAAAAoAQAAZHJzL2Uyb0RvYy54bWxQSwUGAAAAAAYABgBZAQAArgUAAAAA&#10;">
                <v:fill on="f" focussize="0,0"/>
                <v:stroke on="f" miterlimit="8" joinstyle="miter"/>
                <v:imagedata o:title=""/>
                <o:lock v:ext="edit" aspectratio="f"/>
                <v:textbox>
                  <w:txbxContent>
                    <w:p>
                      <w:pPr>
                        <w:spacing w:line="240" w:lineRule="exact"/>
                        <w:jc w:val="both"/>
                        <w:rPr>
                          <w:rFonts w:hint="default" w:ascii="Times New Roman" w:hAnsi="Times New Roman" w:cs="Times New Roman"/>
                          <w:b/>
                          <w:bCs/>
                          <w:sz w:val="28"/>
                          <w:szCs w:val="28"/>
                        </w:rPr>
                      </w:pPr>
                    </w:p>
                    <w:p>
                      <w:pPr>
                        <w:spacing w:line="24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Генеральному прокурору Российской Федерации</w:t>
                      </w:r>
                    </w:p>
                    <w:p>
                      <w:pPr>
                        <w:spacing w:line="24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действительному государственному советнику юстиции</w:t>
                      </w:r>
                    </w:p>
                    <w:p>
                      <w:pPr>
                        <w:spacing w:line="24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Краснову И.В.</w:t>
                      </w:r>
                    </w:p>
                    <w:p>
                      <w:pPr>
                        <w:spacing w:line="240" w:lineRule="exact"/>
                      </w:pPr>
                    </w:p>
                    <w:p>
                      <w:pPr>
                        <w:pStyle w:val="10"/>
                        <w:jc w:val="center"/>
                        <w:rPr>
                          <w:rFonts w:ascii="Times New Roman" w:hAnsi="Times New Roman" w:cs="Times New Roman"/>
                          <w:b/>
                          <w:smallCaps/>
                          <w:sz w:val="28"/>
                          <w:szCs w:val="72"/>
                          <w:lang w:val="ru-RU"/>
                        </w:rPr>
                      </w:pPr>
                    </w:p>
                    <w:p>
                      <w:pPr>
                        <w:pStyle w:val="10"/>
                        <w:jc w:val="center"/>
                        <w:rPr>
                          <w:rFonts w:ascii="Times New Roman" w:hAnsi="Times New Roman" w:cs="Times New Roman"/>
                          <w:b/>
                          <w:smallCaps/>
                          <w:sz w:val="28"/>
                          <w:szCs w:val="72"/>
                          <w:lang w:val="ru-RU"/>
                        </w:rPr>
                      </w:pPr>
                    </w:p>
                  </w:txbxContent>
                </v:textbox>
                <w10:wrap type="square"/>
              </v:shape>
            </w:pict>
          </mc:Fallback>
        </mc:AlternateContent>
      </w: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posOffset>-550545</wp:posOffset>
                </wp:positionH>
                <wp:positionV relativeFrom="paragraph">
                  <wp:posOffset>163830</wp:posOffset>
                </wp:positionV>
                <wp:extent cx="1936115" cy="755015"/>
                <wp:effectExtent l="0" t="0" r="0" b="0"/>
                <wp:wrapNone/>
                <wp:docPr id="7" name="Rectangle 5"/>
                <wp:cNvGraphicFramePr/>
                <a:graphic xmlns:a="http://schemas.openxmlformats.org/drawingml/2006/main">
                  <a:graphicData uri="http://schemas.microsoft.com/office/word/2010/wordprocessingShape">
                    <wps:wsp>
                      <wps:cNvSpPr/>
                      <wps:spPr>
                        <a:xfrm>
                          <a:off x="0" y="0"/>
                          <a:ext cx="1936115" cy="755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08D1" w:rsidRDefault="00F878EF">
                            <w:pPr>
                              <w:pStyle w:val="a9"/>
                              <w:spacing w:line="276" w:lineRule="auto"/>
                              <w:jc w:val="center"/>
                              <w:rPr>
                                <w:rFonts w:ascii="Times New Roman" w:hAnsi="Times New Roman" w:cs="Times New Roman"/>
                                <w:i/>
                                <w:color w:val="000000" w:themeColor="text1"/>
                                <w:sz w:val="28"/>
                                <w:szCs w:val="24"/>
                                <w:lang w:val="ru-RU"/>
                              </w:rPr>
                            </w:pPr>
                            <w:r>
                              <w:rPr>
                                <w:rFonts w:ascii="Times New Roman" w:hAnsi="Times New Roman" w:cs="Times New Roman"/>
                                <w:i/>
                                <w:color w:val="000000" w:themeColor="text1"/>
                                <w:sz w:val="28"/>
                                <w:szCs w:val="24"/>
                                <w:lang w:val="ru-RU"/>
                              </w:rPr>
                              <w:t>Д</w:t>
                            </w:r>
                            <w:r w:rsidR="000C031A">
                              <w:rPr>
                                <w:rFonts w:ascii="Times New Roman" w:hAnsi="Times New Roman" w:cs="Times New Roman"/>
                                <w:i/>
                                <w:color w:val="000000" w:themeColor="text1"/>
                                <w:sz w:val="28"/>
                                <w:szCs w:val="24"/>
                                <w:lang w:val="ru-RU"/>
                              </w:rPr>
                              <w:t>ата:</w:t>
                            </w:r>
                            <w:r>
                              <w:rPr>
                                <w:rFonts w:ascii="Times New Roman" w:hAnsi="Times New Roman" w:cs="Times New Roman"/>
                                <w:i/>
                                <w:color w:val="000000" w:themeColor="text1"/>
                                <w:sz w:val="28"/>
                                <w:szCs w:val="24"/>
                                <w:lang w:val="ru-RU"/>
                              </w:rPr>
                              <w:t xml:space="preserve"> июня 2021 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7" style="position:absolute;left:0;text-align:left;margin-left:-43.35pt;margin-top:12.9pt;width:152.45pt;height:59.4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" filled="f" stroked="f" strokeweight="1pt">
                <v:textbox>
                  <w:txbxContent>
                    <w:p w:rsidR="002608D1" w:rsidRDefault="00F878EF">
                      <w:pPr>
                        <w:pStyle w:val="a9"/>
                        <w:spacing w:line="276" w:lineRule="auto"/>
                        <w:jc w:val="center"/>
                        <w:rPr>
                          <w:rFonts w:ascii="Times New Roman" w:hAnsi="Times New Roman" w:cs="Times New Roman"/>
                          <w:i/>
                          <w:color w:val="000000" w:themeColor="text1"/>
                          <w:sz w:val="28"/>
                          <w:szCs w:val="24"/>
                          <w:lang w:val="ru-RU"/>
                        </w:rPr>
                      </w:pPr>
                      <w:r>
                        <w:rPr>
                          <w:rFonts w:ascii="Times New Roman" w:hAnsi="Times New Roman" w:cs="Times New Roman"/>
                          <w:i/>
                          <w:color w:val="000000" w:themeColor="text1"/>
                          <w:sz w:val="28"/>
                          <w:szCs w:val="24"/>
                          <w:lang w:val="ru-RU"/>
                        </w:rPr>
                        <w:t>Д</w:t>
                      </w:r>
                      <w:r w:rsidR="000C031A">
                        <w:rPr>
                          <w:rFonts w:ascii="Times New Roman" w:hAnsi="Times New Roman" w:cs="Times New Roman"/>
                          <w:i/>
                          <w:color w:val="000000" w:themeColor="text1"/>
                          <w:sz w:val="28"/>
                          <w:szCs w:val="24"/>
                          <w:lang w:val="ru-RU"/>
                        </w:rPr>
                        <w:t>ата:</w:t>
                      </w:r>
                      <w:r>
                        <w:rPr>
                          <w:rFonts w:ascii="Times New Roman" w:hAnsi="Times New Roman" w:cs="Times New Roman"/>
                          <w:i/>
                          <w:color w:val="000000" w:themeColor="text1"/>
                          <w:sz w:val="28"/>
                          <w:szCs w:val="24"/>
                          <w:lang w:val="ru-RU"/>
                        </w:rPr>
                        <w:t xml:space="preserve"> июня 2021 г.</w:t>
                      </w:r>
                    </w:p>
                  </w:txbxContent>
                </v:textbox>
                <w10:wrap anchorx="margin"/>
              </v:rect>
            </w:pict>
          </mc:Fallback>
        </mc:AlternateContent>
      </w: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15.06.2021 главным государственным санитарным врачом по г. Москве Андреевой Е.Е. вынесено постановление №1 "О проведении профилактических прививок отдельным группам граждан по эпидемическим показаниям", в резолютивной части которого содержатся следующие положения:</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пунктом 1 неопределенным субъектам предписано обеспечить проведение профилактических прививок по эпидемическим показаниям против новой коронавирусной инфекции конкретным категориям (группам) граждан, подлежащих, по мнению Андреевой Е.Е., обязательной вакцинации с последующим указанием широчайшего круга лиц, охватывающего собой всё трудоспособное население г. Москвы - миллионы людей, работающих по трудовым и гражданско-правовым договорам практически во всех сферах жизнедеятельности государства и общества;</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пунктом 2 - руководителям организаций и индивидуальным предпринимателям предписано в срок до 15.07.2021 организовать проведение профилактических прививок первым компонентом или однокомпонентной вакциной, а в срок до 15.08.2021 - вторым компонентом вакцины от новой коронавирусной инфекции, прошедшей государственную регистрацию в Российской Федерации, не менее 60% от общей численности сотрудников (при этом проведение информационно-разъяснительной работы с сотрудниками далее в постановлении вынесено отдельным пунктом в качестве самостоятельной меры, из чего следует, что в понятие организации проведения профилактических прививок представитель Роспотребнадзора вкладывает какое-то иное содержание, которое в тексте нормативного акта не раскрывается, допуская правовую неопределённость, служащую в свою очередь основой для избрания работодателями любых, в том числе неправомерных методов воздействия на работников в целях выполнения целевого показателя во избежание административной ответственности);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пунктом 4 - правительству Москвы предписано обеспечить контроль за соблюдением организациями и индивидуальными предпринимателями требований постановления Андреевой Е.Е. от 15.06.2021 №1.</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Совокупностью предписаний, содержащихся в резолютивной части постановления Андреевой Е.Е., под видом легального правового акта, но неправовым способом, с явным превышением указанным должностным лицом </w:t>
      </w:r>
      <w:r>
        <w:rPr>
          <w:rFonts w:ascii="Times New Roman CYR" w:hAnsi="Times New Roman CYR" w:cs="Times New Roman CYR"/>
          <w:sz w:val="28"/>
          <w:szCs w:val="28"/>
        </w:rPr>
        <w:lastRenderedPageBreak/>
        <w:t>своих полномочий, создан механизм, который будет неизбежно приводить к неправомерным методам воздействия на граждан с целью выполнения показателей вакцинации, поскольку работодатели, находясь с одной стороны под угрозой крупного штрафа за невыполнение данного показателя, с другой - в условиях административного давления правительства г. Москвы, и не имея при этом четкой регламентации по вопросу о том, как должно быть организовано "проведение профилактических прививок" не менее 60% сотрудников в случае их нежелания "вакцинироваться" будут прибегать к угрозам и попыткам ввести людей в заблуждение относительно последствий отказа от "вакцинации" (угрозы увольнением, отстранением от работы, перевода на иную должность, снижения заработной платы и т.п.).</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Обращённое Андреевой Е.Е. в пункте 2 требование к руководителям организаций и индивидуальных предпринимателей неопределённо, неконкретно, не вытекает из полномочий главного государственного санитарного врача, предусмотренных законом, не основано на нормах и принципах действующего правового регулирования, которое не содержит положений, дающих указанным субъектам возможность каким-либо правовым способом влиять на позицию граждан по вопросу согласия на медицинское вмешательство и, соответственно, обеспечивать количество "согласных" в пропорции, требуемой Роспотребнадзором. При таких обстоятельствах неправомерно возложение на руководителей организаций и индивидуальных предпринимателей такой обязанности ни одним федеральным органом исполнительной власти, в том числе Роспотребнадзором, предметы компетенции которого не безграничны, а строго очерчены рамками Федерального закона от 30.03.1999 "О санитарно-эпидемиологическом благополучии населения".</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Явное превышение должностными лицами своих служебных полномочий, влекущее массовые нарушения прав граждан, причинение ущерба обществу и государству, не могут быть оправданы угрозой распространения какого-либо заболевания. Чрезвычайное положение в Российской Федерации не объявлено, и при таких обстоятельствах игнорирование ведомствами и должностными лицами пределов своих служебных полномочий при  совершении действий и принятии решений является прямой угрозой национальной безопасности и территориальной целостности Российской Федерации.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Частью 2 статьи 286 УК РФ предусмотрена уголовная ответственность за совершение лицом, занимающим государственную должность субъекта Российской Федерации, действий, явно выходящих за пределы его полномочий и повлекших существенное нарушение прав и законных интересов граждан и организаций либо охраняемых законом интересов общества или государства.</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Совершением действий, связанных с вынесением постановления от 15.06.2021 №1 (формулирование содержания пунктов 1-2 резолютивной части постановления и его подписание), Андреева Е.Е. явно превысила полномочия главного государственного санитарного врача, предусмотренные ст. 51 </w:t>
      </w:r>
      <w:r>
        <w:rPr>
          <w:rFonts w:ascii="Times New Roman CYR" w:hAnsi="Times New Roman CYR" w:cs="Times New Roman CYR"/>
          <w:sz w:val="28"/>
          <w:szCs w:val="28"/>
        </w:rPr>
        <w:lastRenderedPageBreak/>
        <w:t>Федерального закона "О санитарно-эпидемиологическом благополучии населения", ст. 10 Федерального закона от 17.09.1998 №157 "Об иммунопрофилактике инфекционных болезней" и Положением о Федеральной службе по надзору в сфере защиты прав потребителей и благополучия человека, утвержденного постановлением Правительства Российской Федерации от 30.06.2004 №322, пределы которых ей были известны.</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издания Андреевой Е.Е. данного нормативного акта, не основанного на её полномочиях, созданы условия для массового нарушения прав граждан Российской Федерации, а также оказано административное давление на субъектов предпринимательской деятельности и руководителей органов, учреждений, организаций всех форм собственности путём предъявления необоснованных, незаконных нормативных требований, неисполнение которых при сохранении юридической силы постановления от 15.06.2021 №1 (далее - Постановление) влечёт угрозу административной ответственности для всех перечисленных субъектов.</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Наступление указанных последствий влечёт, в свою очередь,  нарушение интересов общества и государства, закрепленных в Стратегии национальной безопасности Российской Федерации.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На степень общественной опасности совершённых Андреевой Е.Е. действий, тяжести и масштабности порождённых ими последствий указывает факт принятия мэром г. Москвы уже на следующий день, 16.06.2021, указа №32-УМ, которым предусмотрены меры по реализации незаконного постановления главного государственного санитарного врача г. Москвы Андреевой Е.Е. от 15.06.2021 №1.</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В пунктах 13 и 14 данного указа прописан механизм «контроля» за исполнением руководителями организации и индивидуальными предпринимателями «плана» вакцинации, предполагающий ежедневное предоставление ими сведений в электронной форме о количестве привившихся сотрудников от общей численности через личный кабинет на официальном сайте мэра и правительства Москвы.</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всей складывающейся ситуации данный «механизм» представляет собой фактически процесс самостоятельного формирования предпринимателями и организациями материалов для будущих административных производств на самих себя. Бизнес ставится в безвыходное положение, при котором он вынужден либо во внеправовом порядке оказывать давление на работников и рапортовать «об успехах» в мэрию Москвы во избежание крупных административных штрафов, либо платить эти штрафы.</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сообщению федерального информационного агентства ТАСС от 17.06.2021 (ссылка на источник в сети «Интернет» - </w:t>
      </w:r>
      <w:r>
        <w:rPr>
          <w:rFonts w:ascii="Times New Roman CYR" w:hAnsi="Times New Roman CYR" w:cs="Times New Roman CYR"/>
          <w:sz w:val="28"/>
          <w:szCs w:val="28"/>
          <w:lang w:val="en-US"/>
        </w:rPr>
        <w:t>https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tass</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ekonomika</w:t>
      </w:r>
      <w:r>
        <w:rPr>
          <w:rFonts w:ascii="Times New Roman CYR" w:hAnsi="Times New Roman CYR" w:cs="Times New Roman CYR"/>
          <w:sz w:val="28"/>
          <w:szCs w:val="28"/>
        </w:rPr>
        <w:t xml:space="preserve">/11679049), в среду, 17 июня 2021 года, уполномоченный в сфере ресторанного бизнеса в столице </w:t>
      </w:r>
      <w:r>
        <w:rPr>
          <w:rFonts w:ascii="Times New Roman CYR" w:hAnsi="Times New Roman CYR" w:cs="Times New Roman CYR"/>
          <w:sz w:val="28"/>
          <w:szCs w:val="28"/>
          <w:u w:val="single"/>
        </w:rPr>
        <w:t>Сергей Миронов</w:t>
      </w:r>
      <w:r>
        <w:rPr>
          <w:rFonts w:ascii="Times New Roman CYR" w:hAnsi="Times New Roman CYR" w:cs="Times New Roman CYR"/>
          <w:sz w:val="28"/>
          <w:szCs w:val="28"/>
        </w:rPr>
        <w:t xml:space="preserve"> по итогам встречи с властями Москвы сделал заявление: «Обсудили ситуацию с работниками – можем ли мы их </w:t>
      </w:r>
      <w:r>
        <w:rPr>
          <w:rFonts w:ascii="Times New Roman CYR" w:hAnsi="Times New Roman CYR" w:cs="Times New Roman CYR"/>
          <w:sz w:val="28"/>
          <w:szCs w:val="28"/>
        </w:rPr>
        <w:lastRenderedPageBreak/>
        <w:t xml:space="preserve">отстранить, если они отказываются прививаться. </w:t>
      </w:r>
      <w:r>
        <w:rPr>
          <w:rFonts w:ascii="Times New Roman CYR" w:hAnsi="Times New Roman CYR" w:cs="Times New Roman CYR"/>
          <w:sz w:val="28"/>
          <w:szCs w:val="28"/>
          <w:u w:val="single"/>
        </w:rPr>
        <w:t>Получили комментарий, что можем отстранить без зарплаты и нас [предпринимателей] наказывать за это не будут из-за эпидемиологической ситуации</w:t>
      </w:r>
      <w:r>
        <w:rPr>
          <w:rFonts w:ascii="Times New Roman CYR" w:hAnsi="Times New Roman CYR" w:cs="Times New Roman CYR"/>
          <w:sz w:val="28"/>
          <w:szCs w:val="28"/>
        </w:rPr>
        <w:t>».</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Позднее Миронов уточнил, что столичные власти не давали бизнесменам разрешения </w:t>
      </w:r>
      <w:r>
        <w:rPr>
          <w:rFonts w:ascii="Times New Roman CYR" w:hAnsi="Times New Roman CYR" w:cs="Times New Roman CYR"/>
          <w:sz w:val="28"/>
          <w:szCs w:val="28"/>
          <w:u w:val="single"/>
        </w:rPr>
        <w:t>отстранять без зарплаты</w:t>
      </w:r>
      <w:r>
        <w:rPr>
          <w:rFonts w:ascii="Times New Roman CYR" w:hAnsi="Times New Roman CYR" w:cs="Times New Roman CYR"/>
          <w:sz w:val="28"/>
          <w:szCs w:val="28"/>
        </w:rPr>
        <w:t xml:space="preserve"> непривившихся сотрудников. </w:t>
      </w:r>
      <w:r>
        <w:rPr>
          <w:rFonts w:ascii="Times New Roman CYR" w:hAnsi="Times New Roman CYR" w:cs="Times New Roman CYR"/>
          <w:sz w:val="28"/>
          <w:szCs w:val="28"/>
          <w:u w:val="single"/>
        </w:rPr>
        <w:t xml:space="preserve">Отстранять от работы без выплаты зарплаты </w:t>
      </w:r>
      <w:r>
        <w:rPr>
          <w:rFonts w:ascii="Times New Roman CYR" w:hAnsi="Times New Roman CYR" w:cs="Times New Roman CYR"/>
          <w:sz w:val="28"/>
          <w:szCs w:val="28"/>
        </w:rPr>
        <w:t>сотрудников предприятий, которые отказались от обязательной вакцинации, позволяет действующее законодательство, отметил он.</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ясно видно, что совершённые Андреевой Е.Е. незаконные действия мгновенно запустили процессы, создающие угрозу преступного, не основанного на законодательстве, которое в действительности не содержит положений, позволяющих отстранять работника от работы по подобным основаниям без сохранения заработной платы, нарушения конституционных прав миллионов жителей города Москвы на труд и оплату труда, а также на защиту от дискриминации.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Основания отстранения работника от работы закреплены в ст.ст. 73, 76 Трудового кодекса Российской Федерации и не включают случаи отказа работника от участия в медицинском эксперименте, которым в действительности является так называемая массовая вакцинация от </w:t>
      </w:r>
      <w:r>
        <w:rPr>
          <w:rFonts w:ascii="Times New Roman CYR" w:hAnsi="Times New Roman CYR" w:cs="Times New Roman CYR"/>
          <w:sz w:val="28"/>
          <w:szCs w:val="28"/>
          <w:lang w:val="en-US"/>
        </w:rPr>
        <w:t>COVID</w:t>
      </w:r>
      <w:r>
        <w:rPr>
          <w:rFonts w:ascii="Times New Roman CYR" w:hAnsi="Times New Roman CYR" w:cs="Times New Roman CYR"/>
          <w:sz w:val="28"/>
          <w:szCs w:val="28"/>
        </w:rPr>
        <w:t>-19 фармацевтическими субстанциями, не прошедшими всех стадий клинических испытаний, с недоказанной эффективностью и безопасностью.</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Не назван в числе основания для отстранения и отказ от вакцинации по эпидемическим показаниям.</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Единственной нормой в системе действующего законодательства, регулирующей данный вопрос, является часть 2 ст. 5 Федерального закона «Об иммунопрофилактике инфекционных болезней», согласно которой отсутствие профилактических прививок влечёт отказ в приёме на работу или отстранение от работ, выполнение которых связано с высоким риском заболевания инфекционными болезнями.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Перечень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утверждён постановлением Правительства Российской Федерации от 15.07.1999 №825, и по своему содержанию значительно уже перечня, установленного Андреевой Е.Е. с превышением своих служебных полномочий.</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этих двух перечней позволяет представить и оценить, сколько людей, семей и домохозяйств, благодаря действиям Андреевой Е.Е. и Собянина С.С., в настоящее время оказались под угрозой незаконного отстранения от работы и полной утраты средств к существованию.</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перехода этого преступного механизма в стадию масштабной реализации возникнут правовые и фактические основания для дачи им юридической оценки по ст. 357 УК РФ («Геноцид»), поскольку объективная сторона указанного преступления включает действия, направленные на полное </w:t>
      </w:r>
      <w:r>
        <w:rPr>
          <w:rFonts w:ascii="Times New Roman CYR" w:hAnsi="Times New Roman CYR" w:cs="Times New Roman CYR"/>
          <w:sz w:val="28"/>
          <w:szCs w:val="28"/>
        </w:rPr>
        <w:lastRenderedPageBreak/>
        <w:t>или частичное уничтожение национальной группы путём создания жизненных условий, рассчитанных на физическое уничтожение данной группы.</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контексте анализа уже существующих и будущих последствий действий Андреевой Е.Е., выразившихся в принятии Постановления от 15.06.2021 №1, необходимо отметить, что любое ограничение конституционных прав и свобод граждан России на основании этого и связанных с ним (порождённых им) решений представителей власти, выходящее за рамки части 2 ст. 5 Федерального закона «Об иммунопрофилактике инфекционных болезней» (запрет на выезд граждан в страны, пребывание в которых в соответствии с международными медико-санитарными </w:t>
      </w:r>
      <w:hyperlink r:id="rId7" w:history="1">
        <w:r>
          <w:rPr>
            <w:rFonts w:ascii="Times New Roman CYR" w:hAnsi="Times New Roman CYR" w:cs="Times New Roman CYR"/>
            <w:sz w:val="28"/>
            <w:szCs w:val="28"/>
          </w:rPr>
          <w:t>правилами</w:t>
        </w:r>
      </w:hyperlink>
      <w:r>
        <w:rPr>
          <w:rFonts w:ascii="Times New Roman CYR" w:hAnsi="Times New Roman CYR" w:cs="Times New Roman CYR"/>
          <w:sz w:val="28"/>
          <w:szCs w:val="28"/>
        </w:rPr>
        <w:t xml:space="preserve"> либо международными договорами Российской Федерации требует конкретных профилактических прививок, </w:t>
      </w:r>
      <w:r>
        <w:rPr>
          <w:rFonts w:ascii="Times New Roman CYR" w:hAnsi="Times New Roman CYR" w:cs="Times New Roman CYR"/>
          <w:b/>
          <w:sz w:val="28"/>
          <w:szCs w:val="28"/>
        </w:rPr>
        <w:t>временный</w:t>
      </w:r>
      <w:r>
        <w:rPr>
          <w:rFonts w:ascii="Times New Roman CYR" w:hAnsi="Times New Roman CYR" w:cs="Times New Roman CYR"/>
          <w:sz w:val="28"/>
          <w:szCs w:val="28"/>
        </w:rPr>
        <w:t xml:space="preserve"> отказ в приёме граждан в образовательные организации и оздоровительные учреждения </w:t>
      </w:r>
      <w:r>
        <w:rPr>
          <w:rFonts w:ascii="Times New Roman CYR" w:hAnsi="Times New Roman CYR" w:cs="Times New Roman CYR"/>
          <w:b/>
          <w:sz w:val="28"/>
          <w:szCs w:val="28"/>
        </w:rPr>
        <w:t xml:space="preserve">в случае возникновения массовых инфекционных заболеваний или при угрозе возникновения эпидемий, </w:t>
      </w:r>
      <w:r>
        <w:rPr>
          <w:rFonts w:ascii="Times New Roman CYR" w:hAnsi="Times New Roman CYR" w:cs="Times New Roman CYR"/>
          <w:sz w:val="28"/>
          <w:szCs w:val="28"/>
        </w:rPr>
        <w:t xml:space="preserve">отказ в приёме на работу или отстранение от работ по Перечню, утверждённому постановлением Правительства РФ от 15.07.1999 №825), </w:t>
      </w:r>
      <w:r>
        <w:rPr>
          <w:rFonts w:ascii="Times New Roman CYR" w:hAnsi="Times New Roman CYR" w:cs="Times New Roman CYR"/>
          <w:sz w:val="28"/>
          <w:szCs w:val="28"/>
          <w:u w:val="single"/>
        </w:rPr>
        <w:t>будет указывать на признаки преступления, предусмотренного ст. 137 УК РФ («Дискриминация»)</w:t>
      </w:r>
      <w:r>
        <w:rPr>
          <w:rFonts w:ascii="Times New Roman CYR" w:hAnsi="Times New Roman CYR" w:cs="Times New Roman CYR"/>
          <w:sz w:val="28"/>
          <w:szCs w:val="28"/>
        </w:rPr>
        <w:t xml:space="preserve">, а в случае призывов к ограничению прав и свобод определённых социальных групп по подобным основаниям, в том числе должностными лицами – </w:t>
      </w:r>
      <w:r>
        <w:rPr>
          <w:rFonts w:ascii="Times New Roman CYR" w:hAnsi="Times New Roman CYR" w:cs="Times New Roman CYR"/>
          <w:sz w:val="28"/>
          <w:szCs w:val="28"/>
          <w:u w:val="single"/>
        </w:rPr>
        <w:t>признаки преступления, предусмотренного ст. 280 УК РФ («Публичные призывы к осуществлению экстремисткой деятельности»)</w:t>
      </w:r>
      <w:r>
        <w:rPr>
          <w:rStyle w:val="a3"/>
          <w:rFonts w:ascii="Times New Roman CYR" w:hAnsi="Times New Roman CYR" w:cs="Times New Roman CYR"/>
          <w:sz w:val="28"/>
          <w:szCs w:val="28"/>
          <w:u w:val="single"/>
        </w:rPr>
        <w:footnoteReference w:id="1"/>
      </w:r>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Исходя из развития ситуации в г. Москве и других регионах в период рассмотрения настоящего обращения, просим  органы прокуратуры при наличии оснований принципиально реагировать на все подобные проявления, от кого бы они не исходили, как это предписывает Конституция РФ, Закон и Присяга прокурора.</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Помимо отмеченного выше незаконного возложения главным государственным санитарным врачом по г. Москве Андреевой Е.Е. на руководителей организаций и индивидуальных предпринимателей обязанности организовать вакцинацию не менее 60% работников от общей численности, активные действия указанного должностного лица при издании Постановления, выходящие за рамки служебных полномочий, выразились в следующем.</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 6 ч. 1 ст. 51 Федерального закона "О санитарно-эпидемиологическом благополучии населения" при угрозе возникновения и распространения инфекционных заболеваний, представляющих опасность для окружающих, главные государственные санитарные врачи вправе выносить мотивированные постановления о проведении профилактических прививок гражданам или отдельным группам граждан по эпидемическим показаниям.</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Положении о Федеральной службе по надзору в сфере защиты прав потребителей и благополучия человека содержание указанного полномочия </w:t>
      </w:r>
      <w:r>
        <w:rPr>
          <w:rFonts w:ascii="Times New Roman CYR" w:hAnsi="Times New Roman CYR" w:cs="Times New Roman CYR"/>
          <w:sz w:val="28"/>
          <w:szCs w:val="28"/>
        </w:rPr>
        <w:lastRenderedPageBreak/>
        <w:t>главных государственных санитарных врачей и порядок его реализации не конкретизированы, из чего следует, что оно регулируется федеральными законами.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Согласно ч. 2 ст. 10 Федерального закона "Об иммунопрофилактике инфекционных болезней", главные государственные врачи субъектов Российской Федерации принимают решение о проведении профилактических прививок по эпидемическим показаниям, однако при этом категории граждан, подлежащих обязательной вакцинации в соответствии с Календарём профилактических прививок по эпидемическим показаниям,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(ч. 3 ст. 10 названного Закона).</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Как следует из п. 1 Положения о Федеральной службе по надзору в сфере защиты прав потребителей, данное ведомство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сфере защиты прав потребителей.</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государственным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является Министерство здравоохранения Российской Федерации (п. 1 Положения о Министерстве здравоохранения Российской Федерации, утверждённого постановлением Правительства РФ от 19.06.2012 №608).</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Исходя из изложенного очевидно, что полномочие по установлению перечня граждан, подлежащих обязательной вакцинации по эпидемическим показаниям, у Андреевой Е.Е. на момент издания Постановления от 15.06.2021 №1 отсутствовало, о чём в силу занимаемой должности и квалификационных требований к указанной должности ей не могло быть неизвестно.</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 санитарно-эпидемиологическом благополучии населения" также установлено, что обязательные требования к условиям деятельности юридических лиц и граждан, в том числе индивидуальных предпринимателей, несоблюдение которых создает угрозу возникновения и распространения инфекционных заболеваний (санитарно-эпидемиологические требования), могут устанавливаться лишь санитарно-эпидемиологическими правилами и гигиеническими нормативами.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Ни одна составляющая статьи 51 названного Закона не предоставляет главным государственным санитарным врачам полномочий формулировать требования, относящиеся к условиям деятельности граждан и предпринимателей, </w:t>
      </w:r>
      <w:r>
        <w:rPr>
          <w:rFonts w:ascii="Times New Roman CYR" w:hAnsi="Times New Roman CYR" w:cs="Times New Roman CYR"/>
          <w:sz w:val="28"/>
          <w:szCs w:val="28"/>
        </w:rPr>
        <w:lastRenderedPageBreak/>
        <w:t>и возлагать на них произвольно любые обязанности по усмотрению чиновников Роспотребнадзора в каких-либо иных актах, кроме санитарно-эпидемиологических правил и гигиенических нормативов, в том числе в постановлениях.</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разделе </w:t>
      </w:r>
      <w:r>
        <w:rPr>
          <w:sz w:val="28"/>
          <w:szCs w:val="28"/>
          <w:lang w:val="en-US"/>
        </w:rPr>
        <w:t>II</w:t>
      </w:r>
      <w:r>
        <w:rPr>
          <w:rFonts w:ascii="Times New Roman CYR" w:hAnsi="Times New Roman CYR" w:cs="Times New Roman CYR"/>
          <w:sz w:val="28"/>
          <w:szCs w:val="28"/>
        </w:rPr>
        <w:t xml:space="preserve"> Положения о Федеральной службе по защите прав потребителей и благополучия человека приведен исчерпывающий перечень прав и полномочий должностных лиц Роспотребнадзора, среди которых полномочие по даче юридическим и физическим лицам предписаний по вопросам вакцинации отсутствует, упоминается лишь возможность дачи разъяснений по вопросам, относящимся к установленной сфере деятельности.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отдельной принципиальной правовой оценке с Вашей стороны, как высшего государственного должностного лица, отвечающего за состояние законности на всей территории Российской Федерации, требует сам факт осуществления отдельными лицами, наделёнными должностным статусом, скоординированных мер, направленных на принуждение широких масс населения (миллионы человек) к участию в медицинском эксперименте по применению фармацевтических субстанций, не прошедших всех стадий клинических испытаний, с неподтверждённой эффективностью и безопасностью. </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И без ссылок на историю ХХ века это деяние носит характер очевидного преступления против человечности, обретающего черты государственного террора против собственного населения, сопряжённого с диверсией и изменой Родине. </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нельзя не напомнить, что принудительные медицинские экспериментам над людьми, в том числе с использованием неиспытанных «вакцин», квалифицированы как преступления против человечности, не имеющего срока давности, приговором Международного военного трибунала для суда и наказания главных военных преступников европейских стран оси (далее - Трибунал).</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Цитата из приговора Трибунала 1946 г., раздел «Военные преступления и преступления против человечности»: «Советских военнопленных делали также объектами медицинских опытов, которые проводились самым жестоким и бесчеловечным образом. В июле 1943 года началась экспериментальная работа, связанная с подготовкой к компании бактериологической войны. Советских военнопленных использовали для этих медицинских опытов, исход которых в большинстве случаев оказывался для них смертельным».</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год преступления нацистов Третьего рейха, связанных с проведением принудительных медицинских экспериментов над людьми с применением неиспытанных вакцин, стали предметом рассмотрения одного из так называемых «малых нюрнбергских процессов» - суда над нацистскими медиками, приговор в отношении которых вынесен в 1947 г. с назначением некоторым фигурантам наказания в виде смертной казни и пожизненного лишения свободы. </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Активные действия, совершаемые в период с 15.06.2021 Андреевой Е.Е., Собяниным С.С., иными представителями органов государственной власти         г. Москвы, а также аналогичные действия представителей власти в других регионах (Московская, Кемеровская, Сахалинская область) и направленные на понуждение миллионов граждан России к участию в медицинском эксперименте с применением фармацевтических субстанций, безопасность которых должным образом не проверена и не подтверждена, обнаруживают явные признаки преступлений, предусмотренных ч. 1 ст. 33, ч. 1 ст. 238 (организация оказания услуг, не отвечающих требованиям безопасности жизни и здоровья потребителей) и ч. 3 ст. 30, ст. 357  УК РФ (покушение на геноцид).</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Однако учитывая, что данные действия совершаются в форме, осуждённой приговором Международного военного трибунала главных военных преступников европейских стран оси, и выражают собой не вербальное, но фактическое отрицание фактов, установленных данным приговором, имеются все основания для проведения в отношении соответствующих должностных лиц проверки по факту реабилитации нацизма (ст. 354.1 УК РФ).</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 42 Стратегии национальной безопасности Российской Федерации, утверждённой Указом Президента Российской Федерации от 31.12.2015 №683 стратегическими целями государственной и общественной безопасности являются </w:t>
      </w:r>
      <w:r>
        <w:rPr>
          <w:rFonts w:ascii="Times New Roman CYR" w:hAnsi="Times New Roman CYR" w:cs="Times New Roman CYR"/>
          <w:b/>
          <w:sz w:val="28"/>
          <w:szCs w:val="28"/>
        </w:rPr>
        <w:t>защита конституционного строя</w:t>
      </w:r>
      <w:r>
        <w:rPr>
          <w:rFonts w:ascii="Times New Roman CYR" w:hAnsi="Times New Roman CYR" w:cs="Times New Roman CYR"/>
          <w:sz w:val="28"/>
          <w:szCs w:val="28"/>
        </w:rPr>
        <w:t xml:space="preserve">, суверенитета, государственной и территориальной целостности Российской Федерации, </w:t>
      </w:r>
      <w:r>
        <w:rPr>
          <w:rFonts w:ascii="Times New Roman CYR" w:hAnsi="Times New Roman CYR" w:cs="Times New Roman CYR"/>
          <w:b/>
          <w:sz w:val="28"/>
          <w:szCs w:val="28"/>
        </w:rPr>
        <w:t>основных прав и свобод человека и гражданина</w:t>
      </w:r>
      <w:r>
        <w:rPr>
          <w:rFonts w:ascii="Times New Roman CYR" w:hAnsi="Times New Roman CYR" w:cs="Times New Roman CYR"/>
          <w:sz w:val="28"/>
          <w:szCs w:val="28"/>
        </w:rPr>
        <w:t xml:space="preserve">, </w:t>
      </w:r>
      <w:r>
        <w:rPr>
          <w:rFonts w:ascii="Times New Roman CYR" w:hAnsi="Times New Roman CYR" w:cs="Times New Roman CYR"/>
          <w:b/>
          <w:sz w:val="28"/>
          <w:szCs w:val="28"/>
        </w:rPr>
        <w:t>сохранение гражданского мира, политической и социальной стабильности в обществе,</w:t>
      </w:r>
      <w:r>
        <w:rPr>
          <w:rFonts w:ascii="Times New Roman CYR" w:hAnsi="Times New Roman CYR" w:cs="Times New Roman CYR"/>
          <w:sz w:val="28"/>
          <w:szCs w:val="28"/>
        </w:rPr>
        <w:t xml:space="preserve"> защита населения и территорий от чрезвычайных ситуаций природного и техногенного характера.</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Основы конституционного строя Российской Федерации – это не эфемерное понятие. Они имеют своё юридическое закрепление в главе 1 Конституции РФ, где указано следующее:</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u w:val="single"/>
        </w:rPr>
        <w:t>Статья 2.</w:t>
      </w:r>
      <w:r>
        <w:rPr>
          <w:rFonts w:ascii="Times New Roman CYR" w:hAnsi="Times New Roman CYR" w:cs="Times New Roman CYR"/>
          <w:sz w:val="28"/>
          <w:szCs w:val="28"/>
        </w:rPr>
        <w:t xml:space="preserve"> Человек, его права и свободы являются высшей ценностью. </w:t>
      </w:r>
      <w:r>
        <w:rPr>
          <w:rFonts w:ascii="Times New Roman CYR" w:hAnsi="Times New Roman CYR" w:cs="Times New Roman CYR"/>
          <w:b/>
          <w:sz w:val="28"/>
          <w:szCs w:val="28"/>
        </w:rPr>
        <w:t>Признание, соблюдение</w:t>
      </w:r>
      <w:r>
        <w:rPr>
          <w:rFonts w:ascii="Times New Roman CYR" w:hAnsi="Times New Roman CYR" w:cs="Times New Roman CYR"/>
          <w:sz w:val="28"/>
          <w:szCs w:val="28"/>
        </w:rPr>
        <w:t xml:space="preserve"> и защита </w:t>
      </w:r>
      <w:r>
        <w:rPr>
          <w:rFonts w:ascii="Times New Roman CYR" w:hAnsi="Times New Roman CYR" w:cs="Times New Roman CYR"/>
          <w:b/>
          <w:sz w:val="28"/>
          <w:szCs w:val="28"/>
        </w:rPr>
        <w:t>прав и свобод человека и гражданина</w:t>
      </w:r>
      <w:r>
        <w:rPr>
          <w:rFonts w:ascii="Times New Roman CYR" w:hAnsi="Times New Roman CYR" w:cs="Times New Roman CYR"/>
          <w:sz w:val="28"/>
          <w:szCs w:val="28"/>
        </w:rPr>
        <w:t xml:space="preserve"> - </w:t>
      </w:r>
      <w:r>
        <w:rPr>
          <w:rFonts w:ascii="Times New Roman CYR" w:hAnsi="Times New Roman CYR" w:cs="Times New Roman CYR"/>
          <w:b/>
          <w:sz w:val="28"/>
          <w:szCs w:val="28"/>
        </w:rPr>
        <w:t>обязанность государства</w:t>
      </w:r>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u w:val="single"/>
        </w:rPr>
        <w:t>Статья 3.</w:t>
      </w:r>
      <w:r>
        <w:rPr>
          <w:rFonts w:ascii="Times New Roman CYR" w:hAnsi="Times New Roman CYR" w:cs="Times New Roman CYR"/>
          <w:sz w:val="28"/>
          <w:szCs w:val="28"/>
        </w:rPr>
        <w:t xml:space="preserve"> Никто не может присваивать власть в Российской Федерации. Захват власти или </w:t>
      </w:r>
      <w:r>
        <w:rPr>
          <w:rFonts w:ascii="Times New Roman CYR" w:hAnsi="Times New Roman CYR" w:cs="Times New Roman CYR"/>
          <w:b/>
          <w:sz w:val="28"/>
          <w:szCs w:val="28"/>
        </w:rPr>
        <w:t>присвоение властных полномочий преследуются по</w:t>
      </w:r>
      <w:r>
        <w:rPr>
          <w:rFonts w:ascii="Times New Roman CYR" w:hAnsi="Times New Roman CYR" w:cs="Times New Roman CYR"/>
          <w:sz w:val="28"/>
          <w:szCs w:val="28"/>
        </w:rPr>
        <w:t xml:space="preserve"> федеральному </w:t>
      </w:r>
      <w:hyperlink r:id="rId8" w:history="1">
        <w:r>
          <w:rPr>
            <w:rFonts w:ascii="Times New Roman CYR" w:hAnsi="Times New Roman CYR" w:cs="Times New Roman CYR"/>
            <w:b/>
            <w:sz w:val="28"/>
            <w:szCs w:val="28"/>
          </w:rPr>
          <w:t>закону</w:t>
        </w:r>
      </w:hyperlink>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b/>
          <w:sz w:val="28"/>
          <w:szCs w:val="28"/>
        </w:rPr>
      </w:pPr>
      <w:r>
        <w:rPr>
          <w:rFonts w:ascii="Times New Roman CYR" w:hAnsi="Times New Roman CYR" w:cs="Times New Roman CYR"/>
          <w:sz w:val="28"/>
          <w:szCs w:val="28"/>
          <w:u w:val="single"/>
        </w:rPr>
        <w:t>Статья 4.</w:t>
      </w:r>
      <w:r>
        <w:rPr>
          <w:rFonts w:ascii="Times New Roman CYR" w:hAnsi="Times New Roman CYR" w:cs="Times New Roman CYR"/>
          <w:sz w:val="28"/>
          <w:szCs w:val="28"/>
        </w:rPr>
        <w:t xml:space="preserve"> </w:t>
      </w:r>
      <w:r>
        <w:rPr>
          <w:rFonts w:ascii="Times New Roman CYR" w:hAnsi="Times New Roman CYR" w:cs="Times New Roman CYR"/>
          <w:b/>
          <w:sz w:val="28"/>
          <w:szCs w:val="28"/>
        </w:rPr>
        <w:t>Конституция Российской Федерации и федеральные законы имеют верховенство на всей территории Российской Федерации.</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u w:val="single"/>
        </w:rPr>
        <w:t>Статья 7.</w:t>
      </w:r>
      <w:r>
        <w:rPr>
          <w:rFonts w:ascii="Times New Roman CYR" w:hAnsi="Times New Roman CYR" w:cs="Times New Roman CYR"/>
          <w:sz w:val="28"/>
          <w:szCs w:val="28"/>
        </w:rPr>
        <w:t xml:space="preserve"> Российская Федерация - социальное государство, </w:t>
      </w:r>
      <w:r>
        <w:rPr>
          <w:rFonts w:ascii="Times New Roman CYR" w:hAnsi="Times New Roman CYR" w:cs="Times New Roman CYR"/>
          <w:b/>
          <w:sz w:val="28"/>
          <w:szCs w:val="28"/>
        </w:rPr>
        <w:t>политика которого направлена на создание условий, обеспечивающих достойную жизнь</w:t>
      </w:r>
      <w:r>
        <w:rPr>
          <w:rFonts w:ascii="Times New Roman CYR" w:hAnsi="Times New Roman CYR" w:cs="Times New Roman CYR"/>
          <w:sz w:val="28"/>
          <w:szCs w:val="28"/>
        </w:rPr>
        <w:t xml:space="preserve"> и свободное развитие </w:t>
      </w:r>
      <w:r>
        <w:rPr>
          <w:rFonts w:ascii="Times New Roman CYR" w:hAnsi="Times New Roman CYR" w:cs="Times New Roman CYR"/>
          <w:b/>
          <w:sz w:val="28"/>
          <w:szCs w:val="28"/>
        </w:rPr>
        <w:t>человека</w:t>
      </w:r>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u w:val="single"/>
        </w:rPr>
        <w:t>Статья 15.</w:t>
      </w:r>
      <w:r>
        <w:rPr>
          <w:rFonts w:ascii="Times New Roman CYR" w:hAnsi="Times New Roman CYR" w:cs="Times New Roman CYR"/>
          <w:sz w:val="28"/>
          <w:szCs w:val="28"/>
        </w:rPr>
        <w:t xml:space="preserve"> Конституция Российской Федерации имеет высшую юридическую силу, прямое действие и применяется на всей территории Российской Федерации. Законы </w:t>
      </w:r>
      <w:r>
        <w:rPr>
          <w:rFonts w:ascii="Times New Roman CYR" w:hAnsi="Times New Roman CYR" w:cs="Times New Roman CYR"/>
          <w:b/>
          <w:sz w:val="28"/>
          <w:szCs w:val="28"/>
        </w:rPr>
        <w:t xml:space="preserve">и иные правовые акты, принимаемые в </w:t>
      </w:r>
      <w:r>
        <w:rPr>
          <w:rFonts w:ascii="Times New Roman CYR" w:hAnsi="Times New Roman CYR" w:cs="Times New Roman CYR"/>
          <w:b/>
          <w:sz w:val="28"/>
          <w:szCs w:val="28"/>
        </w:rPr>
        <w:lastRenderedPageBreak/>
        <w:t>Российской Федерации, не должны противоречить Конституции Российской Федерации.</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государственной власти, органы местного самоуправления, </w:t>
      </w:r>
      <w:r>
        <w:rPr>
          <w:rFonts w:ascii="Times New Roman CYR" w:hAnsi="Times New Roman CYR" w:cs="Times New Roman CYR"/>
          <w:b/>
          <w:sz w:val="28"/>
          <w:szCs w:val="28"/>
        </w:rPr>
        <w:t>должностные лица,</w:t>
      </w:r>
      <w:r>
        <w:rPr>
          <w:rFonts w:ascii="Times New Roman CYR" w:hAnsi="Times New Roman CYR" w:cs="Times New Roman CYR"/>
          <w:sz w:val="28"/>
          <w:szCs w:val="28"/>
        </w:rPr>
        <w:t xml:space="preserve"> граждане и их объединения </w:t>
      </w:r>
      <w:r>
        <w:rPr>
          <w:rFonts w:ascii="Times New Roman CYR" w:hAnsi="Times New Roman CYR" w:cs="Times New Roman CYR"/>
          <w:b/>
          <w:sz w:val="28"/>
          <w:szCs w:val="28"/>
          <w:u w:val="single"/>
        </w:rPr>
        <w:t>обязаны</w:t>
      </w:r>
      <w:r>
        <w:rPr>
          <w:rFonts w:ascii="Times New Roman CYR" w:hAnsi="Times New Roman CYR" w:cs="Times New Roman CYR"/>
          <w:b/>
          <w:sz w:val="28"/>
          <w:szCs w:val="28"/>
        </w:rPr>
        <w:t xml:space="preserve"> соблюдать Конституцию Российской Федерации и законы</w:t>
      </w:r>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u w:val="single"/>
        </w:rPr>
        <w:t>Статья 16.</w:t>
      </w:r>
      <w:r>
        <w:rPr>
          <w:rFonts w:ascii="Times New Roman CYR" w:hAnsi="Times New Roman CYR" w:cs="Times New Roman CYR"/>
          <w:sz w:val="28"/>
          <w:szCs w:val="28"/>
        </w:rPr>
        <w:t xml:space="preserve"> Положения </w:t>
      </w:r>
      <w:r>
        <w:rPr>
          <w:rFonts w:ascii="Times New Roman CYR" w:hAnsi="Times New Roman CYR" w:cs="Times New Roman CYR"/>
          <w:b/>
          <w:sz w:val="28"/>
          <w:szCs w:val="28"/>
        </w:rPr>
        <w:t>настоящей главы</w:t>
      </w:r>
      <w:r>
        <w:rPr>
          <w:rFonts w:ascii="Times New Roman CYR" w:hAnsi="Times New Roman CYR" w:cs="Times New Roman CYR"/>
          <w:sz w:val="28"/>
          <w:szCs w:val="28"/>
        </w:rPr>
        <w:t xml:space="preserve"> Конституции </w:t>
      </w:r>
      <w:r>
        <w:rPr>
          <w:rFonts w:ascii="Times New Roman CYR" w:hAnsi="Times New Roman CYR" w:cs="Times New Roman CYR"/>
          <w:b/>
          <w:sz w:val="28"/>
          <w:szCs w:val="28"/>
        </w:rPr>
        <w:t>составляют основы конституционного строя</w:t>
      </w:r>
      <w:r>
        <w:rPr>
          <w:rFonts w:ascii="Times New Roman CYR" w:hAnsi="Times New Roman CYR" w:cs="Times New Roman CYR"/>
          <w:sz w:val="28"/>
          <w:szCs w:val="28"/>
        </w:rPr>
        <w:t xml:space="preserve"> Российской Федерации </w:t>
      </w:r>
      <w:r>
        <w:rPr>
          <w:rFonts w:ascii="Times New Roman CYR" w:hAnsi="Times New Roman CYR" w:cs="Times New Roman CYR"/>
          <w:b/>
          <w:sz w:val="28"/>
          <w:szCs w:val="28"/>
        </w:rPr>
        <w:t>и не могут быть изменены</w:t>
      </w:r>
      <w:r>
        <w:rPr>
          <w:rFonts w:ascii="Times New Roman CYR" w:hAnsi="Times New Roman CYR" w:cs="Times New Roman CYR"/>
          <w:sz w:val="28"/>
          <w:szCs w:val="28"/>
        </w:rPr>
        <w:t xml:space="preserve"> иначе как в порядке, установленном настоящей </w:t>
      </w:r>
      <w:hyperlink r:id="rId9" w:history="1">
        <w:r>
          <w:rPr>
            <w:rFonts w:ascii="Times New Roman CYR" w:hAnsi="Times New Roman CYR" w:cs="Times New Roman CYR"/>
            <w:sz w:val="28"/>
            <w:szCs w:val="28"/>
          </w:rPr>
          <w:t>Конституцией</w:t>
        </w:r>
      </w:hyperlink>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u w:val="single"/>
        </w:rPr>
        <w:t>Статья 21.</w:t>
      </w:r>
      <w:r>
        <w:rPr>
          <w:rFonts w:ascii="Times New Roman CYR" w:hAnsi="Times New Roman CYR" w:cs="Times New Roman CYR"/>
          <w:sz w:val="28"/>
          <w:szCs w:val="28"/>
        </w:rPr>
        <w:t xml:space="preserve"> </w:t>
      </w:r>
      <w:r>
        <w:rPr>
          <w:rFonts w:ascii="Times New Roman CYR" w:hAnsi="Times New Roman CYR" w:cs="Times New Roman CYR"/>
          <w:b/>
          <w:sz w:val="28"/>
          <w:szCs w:val="28"/>
        </w:rPr>
        <w:t>Достоинство личности охраняется государством</w:t>
      </w:r>
      <w:r>
        <w:rPr>
          <w:rFonts w:ascii="Times New Roman CYR" w:hAnsi="Times New Roman CYR" w:cs="Times New Roman CYR"/>
          <w:sz w:val="28"/>
          <w:szCs w:val="28"/>
        </w:rPr>
        <w:t xml:space="preserve">. </w:t>
      </w:r>
      <w:r>
        <w:rPr>
          <w:rFonts w:ascii="Times New Roman CYR" w:hAnsi="Times New Roman CYR" w:cs="Times New Roman CYR"/>
          <w:b/>
          <w:sz w:val="28"/>
          <w:szCs w:val="28"/>
          <w:u w:val="single"/>
        </w:rPr>
        <w:t>Ничто</w:t>
      </w:r>
      <w:r>
        <w:rPr>
          <w:rFonts w:ascii="Times New Roman CYR" w:hAnsi="Times New Roman CYR" w:cs="Times New Roman CYR"/>
          <w:sz w:val="28"/>
          <w:szCs w:val="28"/>
        </w:rPr>
        <w:t xml:space="preserve"> не может быть основанием для его умаления. </w:t>
      </w:r>
      <w:r>
        <w:rPr>
          <w:rFonts w:ascii="Times New Roman CYR" w:hAnsi="Times New Roman CYR" w:cs="Times New Roman CYR"/>
          <w:b/>
          <w:sz w:val="28"/>
          <w:szCs w:val="28"/>
        </w:rPr>
        <w:t xml:space="preserve">Никто </w:t>
      </w:r>
      <w:r>
        <w:rPr>
          <w:rFonts w:ascii="Times New Roman CYR" w:hAnsi="Times New Roman CYR" w:cs="Times New Roman CYR"/>
          <w:sz w:val="28"/>
          <w:szCs w:val="28"/>
        </w:rPr>
        <w:t xml:space="preserve">не должен подвергаться пыткам, насилию, </w:t>
      </w:r>
      <w:r>
        <w:rPr>
          <w:rFonts w:ascii="Times New Roman CYR" w:hAnsi="Times New Roman CYR" w:cs="Times New Roman CYR"/>
          <w:b/>
          <w:sz w:val="28"/>
          <w:szCs w:val="28"/>
        </w:rPr>
        <w:t>другому жестокому</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или унижающему человеческое достоинство обращению</w:t>
      </w:r>
      <w:r>
        <w:rPr>
          <w:rFonts w:ascii="Times New Roman CYR" w:hAnsi="Times New Roman CYR" w:cs="Times New Roman CYR"/>
          <w:sz w:val="28"/>
          <w:szCs w:val="28"/>
        </w:rPr>
        <w:t xml:space="preserve"> или наказанию. </w:t>
      </w:r>
      <w:r>
        <w:rPr>
          <w:rFonts w:ascii="Times New Roman CYR" w:hAnsi="Times New Roman CYR" w:cs="Times New Roman CYR"/>
          <w:b/>
          <w:sz w:val="28"/>
          <w:szCs w:val="28"/>
        </w:rPr>
        <w:t>Никто не может быть без добровольного согласия подвергнут медицинским, научным или иным опытам</w:t>
      </w:r>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ст. 1 Федерального закона «О прокуратуре Российской Федерации» от 17.01.1992 №2202-1, прокуратура Российской Федерации – это единая федеральная централизованная система органов, </w:t>
      </w:r>
      <w:r>
        <w:rPr>
          <w:rFonts w:ascii="Times New Roman CYR" w:hAnsi="Times New Roman CYR" w:cs="Times New Roman CYR"/>
          <w:b/>
          <w:sz w:val="28"/>
          <w:szCs w:val="28"/>
        </w:rPr>
        <w:t xml:space="preserve">осуществляющих надзор за соблюдением </w:t>
      </w:r>
      <w:hyperlink r:id="rId10" w:history="1">
        <w:r>
          <w:rPr>
            <w:rFonts w:ascii="Times New Roman CYR" w:hAnsi="Times New Roman CYR" w:cs="Times New Roman CYR"/>
            <w:b/>
            <w:sz w:val="28"/>
            <w:szCs w:val="28"/>
          </w:rPr>
          <w:t>Конституции</w:t>
        </w:r>
      </w:hyperlink>
      <w:r>
        <w:rPr>
          <w:rFonts w:ascii="Times New Roman CYR" w:hAnsi="Times New Roman CYR" w:cs="Times New Roman CYR"/>
          <w:b/>
          <w:sz w:val="28"/>
          <w:szCs w:val="28"/>
        </w:rPr>
        <w:t xml:space="preserve"> Российской Федерации и исполнением законов, надзор за соблюдением прав и свобод человека и гражданина</w:t>
      </w:r>
      <w:r>
        <w:rPr>
          <w:rFonts w:ascii="Times New Roman CYR" w:hAnsi="Times New Roman CYR" w:cs="Times New Roman CYR"/>
          <w:sz w:val="28"/>
          <w:szCs w:val="28"/>
        </w:rPr>
        <w:t>.</w:t>
      </w:r>
    </w:p>
    <w:p w:rsidR="002608D1" w:rsidRDefault="00F878EF">
      <w:pPr>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Исходя из приведённых нами обстоятельств и Присяги прокурора, обязывающей непримиримо бороться с нарушениями закона, кто бы их не совершил, ожидаем от должностных лиц органов прокуратуры честной и принципиальной оценки того, насколько действия Андреевой Е.Е., Собянина С.С. и аналогичные действия представителей власти в ряде регионов России соответствуют основам конституционного строя Российской Федерации и стратегическим целям её национальной безопасности.</w:t>
      </w:r>
    </w:p>
    <w:p w:rsidR="002608D1" w:rsidRDefault="002608D1">
      <w:pPr>
        <w:widowControl w:val="0"/>
        <w:autoSpaceDE w:val="0"/>
        <w:autoSpaceDN w:val="0"/>
        <w:adjustRightInd w:val="0"/>
        <w:ind w:right="-72" w:firstLine="851"/>
        <w:jc w:val="both"/>
        <w:rPr>
          <w:rFonts w:ascii="Times New Roman CYR" w:hAnsi="Times New Roman CYR" w:cs="Times New Roman CYR"/>
          <w:sz w:val="28"/>
          <w:szCs w:val="28"/>
        </w:rPr>
      </w:pP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Сообщая об изложенном, просим Вас подвергнуть всестороннему анализу и юридической оценке постановление главного государственного санитарного врача по г. Москве Андреевой Е.Е. от 15.06.2021 №1 на предмет его соответствия Конституции РФ и действующему федеральному законодательству.</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Учитывая масштабы нарушений прав и свобод граждан и иных негативных последствий, к которым может привести сохранение юридической силы данного незаконного нормативного правового акта, просим рассмотрение данного обращения взять на особый контроль и инициативно принять меры к его опротестованию, не предлагая нам и иным заявителям, обратившимся в Генеральную прокуратуру РФ по данному вопросу, самостоятельно обратиться с соответствующими исками в суд.</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конституционным органом, обеспечивающим законность, является не только суд, но и прокуратура, просим Вас использовать имеющиеся надзорные полномочия для скорейшего устранения перечисленных грубых нарушений закона, эффективного восстановления и защиты конституционных </w:t>
      </w:r>
      <w:r>
        <w:rPr>
          <w:rFonts w:ascii="Times New Roman CYR" w:hAnsi="Times New Roman CYR" w:cs="Times New Roman CYR"/>
          <w:sz w:val="28"/>
          <w:szCs w:val="28"/>
        </w:rPr>
        <w:lastRenderedPageBreak/>
        <w:t>прав и свобод граждан Российской Федерации.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Аналогичным образом просим отреагировать на аналогичные незаконные нормативно-правовые акты, изданные должностными лицами иных субъектов Российской Федерации после 15.06.2021.</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распространение практики, начавшейся с г. Москвы, по всей территории Российской Федерации, просим аппарат Генеральной прокуратуры Российской Федерации организовать централизованную проверку законности и соответствия Конституции РФ нормативных правовых актов, изданных главными государственными санитарными врачами и высшими должностными лицами субъектов Российской Федерации по вопросам борьбы с новой коронавирусной инфекцией и вакцинации от </w:t>
      </w:r>
      <w:r>
        <w:rPr>
          <w:rFonts w:ascii="Times New Roman CYR" w:hAnsi="Times New Roman CYR" w:cs="Times New Roman CYR"/>
          <w:sz w:val="28"/>
          <w:szCs w:val="28"/>
          <w:lang w:val="en-US"/>
        </w:rPr>
        <w:t>COVID</w:t>
      </w:r>
      <w:r>
        <w:rPr>
          <w:rFonts w:ascii="Times New Roman CYR" w:hAnsi="Times New Roman CYR" w:cs="Times New Roman CYR"/>
          <w:sz w:val="28"/>
          <w:szCs w:val="28"/>
        </w:rPr>
        <w:t>-19.</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Настоящее заявление просим зарегистрировать в Генеральной прокуратуре Российской Федерации как сообщение о преступлении, поскольку оно содержит достаточное указание на обстоятельства совершённого преступлений, предусмотренных ст.ст. ч. 1 ст. 33, ч. 1 ст. 238, 286, 354.1, ч. 3 ст. 30, ст. 357 УК РФ, и передать его в Следственный комитет Российской Федерации для проведения проверки в порядке, установленном уголовно-процессуальным законодательством.</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Учитывая наличие явных признаков высокой степени координации и организации преступных действий, направленных на подрыв национальной безопасности Российской Федерации, просим настоящее обращение направить в органы, уполномоченные на проведение оперативно-розыскных мероприятий и предотвращение внутренних и внешних угроз государственной безопасности.</w:t>
      </w:r>
    </w:p>
    <w:p w:rsidR="002608D1" w:rsidRDefault="00F878EF">
      <w:pPr>
        <w:widowControl w:val="0"/>
        <w:autoSpaceDE w:val="0"/>
        <w:autoSpaceDN w:val="0"/>
        <w:adjustRightInd w:val="0"/>
        <w:ind w:right="-7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2608D1" w:rsidRDefault="002608D1">
      <w:pPr>
        <w:widowControl w:val="0"/>
        <w:autoSpaceDE w:val="0"/>
        <w:autoSpaceDN w:val="0"/>
        <w:adjustRightInd w:val="0"/>
        <w:ind w:right="-72" w:firstLine="851"/>
        <w:jc w:val="both"/>
      </w:pPr>
    </w:p>
    <w:p w:rsidR="002608D1" w:rsidRDefault="002608D1">
      <w:pPr>
        <w:widowControl w:val="0"/>
        <w:autoSpaceDE w:val="0"/>
        <w:autoSpaceDN w:val="0"/>
        <w:adjustRightInd w:val="0"/>
        <w:ind w:right="-72" w:firstLine="851"/>
        <w:jc w:val="both"/>
      </w:pPr>
    </w:p>
    <w:p w:rsidR="002608D1" w:rsidRDefault="00F878EF">
      <w:pPr>
        <w:widowControl w:val="0"/>
        <w:autoSpaceDE w:val="0"/>
        <w:autoSpaceDN w:val="0"/>
        <w:adjustRightInd w:val="0"/>
        <w:ind w:right="-72" w:firstLine="851"/>
        <w:jc w:val="both"/>
      </w:pPr>
      <w:r>
        <w:t>ФИО                                                                                           Подпись</w:t>
      </w:r>
    </w:p>
    <w:sectPr w:rsidR="002608D1">
      <w:headerReference w:type="even" r:id="rId11"/>
      <w:headerReference w:type="default" r:id="rId12"/>
      <w:pgSz w:w="12240" w:h="15840"/>
      <w:pgMar w:top="1134"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4A" w:rsidRDefault="00FF574A">
      <w:r>
        <w:separator/>
      </w:r>
    </w:p>
  </w:endnote>
  <w:endnote w:type="continuationSeparator" w:id="0">
    <w:p w:rsidR="00FF574A" w:rsidRDefault="00F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Sylfaen"/>
    <w:panose1 w:val="02020603050405020304"/>
    <w:charset w:val="CC"/>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4A" w:rsidRDefault="00FF574A">
      <w:r>
        <w:separator/>
      </w:r>
    </w:p>
  </w:footnote>
  <w:footnote w:type="continuationSeparator" w:id="0">
    <w:p w:rsidR="00FF574A" w:rsidRDefault="00FF574A">
      <w:r>
        <w:continuationSeparator/>
      </w:r>
    </w:p>
  </w:footnote>
  <w:footnote w:id="1">
    <w:p w:rsidR="002608D1" w:rsidRDefault="00F878EF">
      <w:pPr>
        <w:pStyle w:val="a5"/>
        <w:jc w:val="both"/>
      </w:pPr>
      <w:r>
        <w:rPr>
          <w:rStyle w:val="a3"/>
        </w:rPr>
        <w:footnoteRef/>
      </w:r>
      <w:r>
        <w:t xml:space="preserve"> В соответствии со ст. 1 Федерального закона «О противодействии экстремистской деятельности» от 25.07.2002 №114-ФЗ нарушение прав, свобод и законных интересов человека в зависимости от его социальной принадлежности признаётся экстремистской деятельностью (экстремизмом).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D1" w:rsidRDefault="00F878EF">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608D1" w:rsidRDefault="002608D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D1" w:rsidRDefault="00F878EF">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912E6">
      <w:rPr>
        <w:rStyle w:val="a4"/>
        <w:noProof/>
      </w:rPr>
      <w:t>10</w:t>
    </w:r>
    <w:r>
      <w:rPr>
        <w:rStyle w:val="a4"/>
      </w:rPr>
      <w:fldChar w:fldCharType="end"/>
    </w:r>
  </w:p>
  <w:p w:rsidR="002608D1" w:rsidRDefault="002608D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A7"/>
    <w:rsid w:val="000815FF"/>
    <w:rsid w:val="000C031A"/>
    <w:rsid w:val="000D25EE"/>
    <w:rsid w:val="000E15B9"/>
    <w:rsid w:val="001D39F4"/>
    <w:rsid w:val="001F3BA7"/>
    <w:rsid w:val="001F6EBE"/>
    <w:rsid w:val="00214AE3"/>
    <w:rsid w:val="00227CED"/>
    <w:rsid w:val="0025113C"/>
    <w:rsid w:val="00252DE5"/>
    <w:rsid w:val="002608D1"/>
    <w:rsid w:val="002915BD"/>
    <w:rsid w:val="00297752"/>
    <w:rsid w:val="00317AC1"/>
    <w:rsid w:val="003D1EAA"/>
    <w:rsid w:val="00425B9F"/>
    <w:rsid w:val="004431F0"/>
    <w:rsid w:val="00481836"/>
    <w:rsid w:val="004A7E23"/>
    <w:rsid w:val="0055316A"/>
    <w:rsid w:val="0055468A"/>
    <w:rsid w:val="00556B48"/>
    <w:rsid w:val="005A09AC"/>
    <w:rsid w:val="00622B52"/>
    <w:rsid w:val="0066766A"/>
    <w:rsid w:val="006E0D47"/>
    <w:rsid w:val="007805A7"/>
    <w:rsid w:val="007912E6"/>
    <w:rsid w:val="007A264A"/>
    <w:rsid w:val="007F2269"/>
    <w:rsid w:val="00801A35"/>
    <w:rsid w:val="00833631"/>
    <w:rsid w:val="008552F5"/>
    <w:rsid w:val="008A3141"/>
    <w:rsid w:val="008A66EF"/>
    <w:rsid w:val="0090360C"/>
    <w:rsid w:val="00A65A12"/>
    <w:rsid w:val="00A732A5"/>
    <w:rsid w:val="00BA1F20"/>
    <w:rsid w:val="00BA354F"/>
    <w:rsid w:val="00BE192A"/>
    <w:rsid w:val="00BE7626"/>
    <w:rsid w:val="00C36470"/>
    <w:rsid w:val="00C47EF5"/>
    <w:rsid w:val="00C74390"/>
    <w:rsid w:val="00CF087D"/>
    <w:rsid w:val="00D22074"/>
    <w:rsid w:val="00D27375"/>
    <w:rsid w:val="00D52CCF"/>
    <w:rsid w:val="00D55FD2"/>
    <w:rsid w:val="00D75165"/>
    <w:rsid w:val="00DC459D"/>
    <w:rsid w:val="00E17B8B"/>
    <w:rsid w:val="00E36651"/>
    <w:rsid w:val="00EA6921"/>
    <w:rsid w:val="00EF29CB"/>
    <w:rsid w:val="00F01885"/>
    <w:rsid w:val="00F05BD7"/>
    <w:rsid w:val="00F76962"/>
    <w:rsid w:val="00F878EF"/>
    <w:rsid w:val="00F97089"/>
    <w:rsid w:val="00FE39AC"/>
    <w:rsid w:val="00FF574A"/>
    <w:rsid w:val="2DEE3780"/>
    <w:rsid w:val="32C810C1"/>
    <w:rsid w:val="566C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2604E0-93F1-420A-87F1-110AB84D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qFormat/>
    <w:rPr>
      <w:rFonts w:cs="Times New Roman"/>
      <w:vertAlign w:val="superscript"/>
    </w:rPr>
  </w:style>
  <w:style w:type="character" w:styleId="a4">
    <w:name w:val="page number"/>
    <w:basedOn w:val="a0"/>
    <w:uiPriority w:val="99"/>
    <w:rPr>
      <w:rFonts w:cs="Times New Roman"/>
    </w:rPr>
  </w:style>
  <w:style w:type="paragraph" w:styleId="a5">
    <w:name w:val="footnote text"/>
    <w:basedOn w:val="a"/>
    <w:link w:val="a6"/>
    <w:uiPriority w:val="99"/>
    <w:semiHidden/>
    <w:rPr>
      <w:sz w:val="20"/>
      <w:szCs w:val="20"/>
    </w:rPr>
  </w:style>
  <w:style w:type="paragraph" w:styleId="a7">
    <w:name w:val="header"/>
    <w:basedOn w:val="a"/>
    <w:link w:val="a8"/>
    <w:uiPriority w:val="99"/>
    <w:pPr>
      <w:tabs>
        <w:tab w:val="center" w:pos="4677"/>
        <w:tab w:val="right" w:pos="9355"/>
      </w:tabs>
    </w:pPr>
  </w:style>
  <w:style w:type="character" w:customStyle="1" w:styleId="a6">
    <w:name w:val="Текст сноски Знак"/>
    <w:basedOn w:val="a0"/>
    <w:link w:val="a5"/>
    <w:uiPriority w:val="99"/>
    <w:semiHidden/>
    <w:rPr>
      <w:sz w:val="20"/>
      <w:szCs w:val="20"/>
      <w:lang w:val="ru-RU" w:eastAsia="ru-RU"/>
    </w:rPr>
  </w:style>
  <w:style w:type="character" w:customStyle="1" w:styleId="a8">
    <w:name w:val="Верхний колонтитул Знак"/>
    <w:basedOn w:val="a0"/>
    <w:link w:val="a7"/>
    <w:uiPriority w:val="99"/>
    <w:semiHidden/>
    <w:rPr>
      <w:sz w:val="24"/>
      <w:szCs w:val="24"/>
      <w:lang w:val="ru-RU" w:eastAsia="ru-RU"/>
    </w:rPr>
  </w:style>
  <w:style w:type="paragraph" w:styleId="a9">
    <w:name w:val="No Spacing"/>
    <w:uiPriority w:val="1"/>
    <w:qFormat/>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2774607F9BD7A853DB28F6AC95CC8B8960164B70F4DD890F8AD98690083CF81BD65211F220BA7C5B9B9BF333D7D6DDDCB8FC0432E9912FDElEY5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88DD6003CB80DB3E27603B614F456450C950B902C105A51CCF3F78D56716A5CCE9F05EC3EA4B1932668BDnB24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6F52FF2C1BE1B5A6FAD940FF5EB7B4BE3B2AE7FCE331C0478C949058C0B8D2BCB90F510B5361DB1C1875AlFm4J" TargetMode="External"/><Relationship Id="rId4" Type="http://schemas.openxmlformats.org/officeDocument/2006/relationships/webSettings" Target="webSettings.xml"/><Relationship Id="rId9" Type="http://schemas.openxmlformats.org/officeDocument/2006/relationships/hyperlink" Target="consultantplus://offline/ref=19B1C36EBFD93064B58BD9182577947AE469168A319C644D50391FDE792B82B9B7A613B1DBF27675F31CA3F5BB623C45D1612ACFDA20FDf7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3869</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Андрей</cp:lastModifiedBy>
  <cp:revision>2</cp:revision>
  <cp:lastPrinted>2021-06-18T21:11:00Z</cp:lastPrinted>
  <dcterms:created xsi:type="dcterms:W3CDTF">2021-06-21T22:50:00Z</dcterms:created>
  <dcterms:modified xsi:type="dcterms:W3CDTF">2021-06-21T22:50:00Z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